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C8516">
      <w:pPr>
        <w:pStyle w:val="41"/>
        <w:keepNext w:val="0"/>
        <w:keepLines w:val="0"/>
        <w:widowControl/>
        <w:suppressLineNumbers w:val="0"/>
        <w:tabs>
          <w:tab w:val="right" w:pos="9645"/>
        </w:tabs>
        <w:spacing w:before="0" w:beforeAutospacing="0" w:after="0" w:afterAutospacing="0"/>
        <w:ind w:left="0" w:right="0"/>
        <w:jc w:val="left"/>
        <w:rPr>
          <w:b/>
          <w:bCs w:val="0"/>
          <w:sz w:val="28"/>
          <w:szCs w:val="20"/>
          <w:lang w:val="en-US"/>
        </w:rPr>
      </w:pPr>
      <w:r>
        <w:rPr>
          <w:rFonts w:hint="default" w:ascii="Arial" w:hAnsi="Arial" w:eastAsia="MS Mincho" w:cs="Times New Roman"/>
          <w:b/>
          <w:bCs w:val="0"/>
          <w:kern w:val="0"/>
          <w:sz w:val="24"/>
          <w:szCs w:val="20"/>
          <w:lang w:val="en-US" w:eastAsia="zh-CN" w:bidi="ar"/>
        </w:rPr>
        <w:t>3GPP TSG-RAN WG3 Meeting #127bis</w:t>
      </w:r>
      <w:r>
        <w:rPr>
          <w:rFonts w:hint="default" w:ascii="Arial" w:hAnsi="Arial" w:eastAsia="MS Mincho" w:cs="Times New Roman"/>
          <w:b/>
          <w:bCs w:val="0"/>
          <w:i/>
          <w:iCs w:val="0"/>
          <w:kern w:val="0"/>
          <w:sz w:val="28"/>
          <w:szCs w:val="20"/>
          <w:lang w:val="en-US" w:eastAsia="zh-CN" w:bidi="ar"/>
        </w:rPr>
        <w:tab/>
      </w:r>
      <w:r>
        <w:rPr>
          <w:rFonts w:hint="default" w:ascii="Arial" w:hAnsi="Arial" w:eastAsia="MS Mincho" w:cs="Times New Roman"/>
          <w:b/>
          <w:bCs w:val="0"/>
          <w:i/>
          <w:iCs w:val="0"/>
          <w:kern w:val="0"/>
          <w:sz w:val="28"/>
          <w:szCs w:val="20"/>
          <w:lang w:val="en-US" w:eastAsia="zh-CN" w:bidi="ar"/>
        </w:rPr>
        <w:t>R3-25176</w:t>
      </w:r>
      <w:r>
        <w:rPr>
          <w:rFonts w:hint="eastAsia" w:ascii="Arial" w:hAnsi="Arial" w:eastAsia="MS Mincho" w:cs="Times New Roman"/>
          <w:b/>
          <w:bCs w:val="0"/>
          <w:i/>
          <w:iCs w:val="0"/>
          <w:kern w:val="0"/>
          <w:sz w:val="28"/>
          <w:szCs w:val="20"/>
          <w:lang w:val="en-US" w:eastAsia="zh-CN" w:bidi="ar"/>
        </w:rPr>
        <w:t>5</w:t>
      </w:r>
    </w:p>
    <w:p w14:paraId="72CF2DF3">
      <w:pPr>
        <w:pStyle w:val="41"/>
        <w:keepNext w:val="0"/>
        <w:keepLines w:val="0"/>
        <w:widowControl/>
        <w:suppressLineNumbers w:val="0"/>
        <w:tabs>
          <w:tab w:val="right" w:pos="9645"/>
        </w:tabs>
        <w:spacing w:before="0" w:beforeAutospacing="0" w:after="0" w:afterAutospacing="0"/>
        <w:ind w:left="0" w:right="0"/>
        <w:jc w:val="left"/>
        <w:rPr>
          <w:b/>
          <w:bCs w:val="0"/>
          <w:sz w:val="24"/>
          <w:szCs w:val="20"/>
          <w:lang w:val="en-US"/>
        </w:rPr>
      </w:pPr>
      <w:r>
        <w:rPr>
          <w:rFonts w:hint="default" w:ascii="Arial" w:hAnsi="Arial" w:eastAsia="MS Mincho" w:cs="Times New Roman"/>
          <w:b/>
          <w:bCs w:val="0"/>
          <w:kern w:val="0"/>
          <w:sz w:val="24"/>
          <w:szCs w:val="20"/>
          <w:lang w:val="en-US" w:eastAsia="zh-CN" w:bidi="ar"/>
        </w:rPr>
        <w:t>Wuhan, China, 7 – 11 April 2025</w:t>
      </w:r>
    </w:p>
    <w:p w14:paraId="0717E73E">
      <w:pPr>
        <w:pStyle w:val="36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3B0EF5F6">
      <w:pPr>
        <w:pStyle w:val="91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16.3</w:t>
      </w:r>
    </w:p>
    <w:p w14:paraId="47FEC04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3240CF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on location of the device</w:t>
      </w:r>
    </w:p>
    <w:p w14:paraId="6911FBA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42A4CE0A">
      <w:pPr>
        <w:pStyle w:val="2"/>
      </w:pPr>
      <w:r>
        <w:t>1</w:t>
      </w:r>
      <w:r>
        <w:tab/>
      </w:r>
      <w:r>
        <w:t>Introduction</w:t>
      </w:r>
    </w:p>
    <w:p w14:paraId="561B0964">
      <w:pPr>
        <w:autoSpaceDN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paper, we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 like to further discuss the location of the device based on the previous progress</w:t>
      </w:r>
    </w:p>
    <w:p w14:paraId="3C07CB89">
      <w:pPr>
        <w:spacing w:after="120"/>
        <w:ind w:right="-96"/>
        <w:jc w:val="both"/>
        <w:rPr>
          <w:rFonts w:cs="Calibri"/>
          <w:i/>
          <w:color w:val="FF0000"/>
          <w:sz w:val="16"/>
          <w:szCs w:val="16"/>
        </w:rPr>
      </w:pPr>
      <w:r>
        <w:rPr>
          <w:rFonts w:cs="Calibri"/>
          <w:i/>
          <w:color w:val="FF0000"/>
          <w:sz w:val="16"/>
          <w:szCs w:val="16"/>
        </w:rPr>
        <w:t>RAN3#127:</w:t>
      </w:r>
    </w:p>
    <w:p w14:paraId="1B7CFB56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The A-IoT RAN node always sends the AIoT device’s location at reader ID granularity to the </w:t>
      </w:r>
      <w:r>
        <w:rPr>
          <w:rFonts w:hint="eastAsia" w:cs="Calibri"/>
          <w:i/>
          <w:iCs/>
          <w:color w:val="00B050"/>
          <w:kern w:val="2"/>
          <w:sz w:val="16"/>
          <w:szCs w:val="16"/>
          <w:lang w:eastAsia="zh-CN"/>
        </w:rPr>
        <w:t>AIOTF</w:t>
      </w: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 in Inventory Report.</w:t>
      </w:r>
    </w:p>
    <w:p w14:paraId="61EBE256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AIoT RAN node sends the Inventory Report aggregated per Reader. </w:t>
      </w:r>
    </w:p>
    <w:p w14:paraId="1F016F1B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 xml:space="preserve">“Global gNB ID + Reader index” is used to uniquely identify the Reader globally. </w:t>
      </w:r>
    </w:p>
    <w:p w14:paraId="19A3CADE">
      <w:pPr>
        <w:rPr>
          <w:rFonts w:eastAsia="等线"/>
          <w:lang w:eastAsia="zh-CN"/>
        </w:rPr>
      </w:pPr>
      <w:r>
        <w:rPr>
          <w:rFonts w:cs="Calibri"/>
          <w:i/>
          <w:color w:val="FF0000"/>
          <w:sz w:val="16"/>
          <w:szCs w:val="16"/>
        </w:rPr>
        <w:t>FFS whether only Reader index or “Global gNB ID + Reader index” is sent in Inventory Report.</w:t>
      </w:r>
    </w:p>
    <w:p w14:paraId="47DD231A">
      <w:pPr>
        <w:pStyle w:val="2"/>
      </w:pPr>
      <w:bookmarkStart w:id="0" w:name="_Hlk189748455"/>
      <w:r>
        <w:t>2</w:t>
      </w:r>
      <w:r>
        <w:tab/>
      </w:r>
      <w:r>
        <w:t>Discussion</w:t>
      </w:r>
    </w:p>
    <w:bookmarkEnd w:id="0"/>
    <w:p w14:paraId="1CBD2792">
      <w:pPr>
        <w:autoSpaceDN w:val="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AIOTF</w:t>
      </w:r>
      <w:r>
        <w:rPr>
          <w:b/>
          <w:bCs/>
          <w:u w:val="single"/>
          <w:lang w:val="en-US" w:eastAsia="zh-CN"/>
        </w:rPr>
        <w:t xml:space="preserve"> Knowledge of gNB ID</w:t>
      </w:r>
    </w:p>
    <w:p w14:paraId="3213E3B7">
      <w:pPr>
        <w:shd w:val="clear" w:color="auto" w:fill="FFFFFF"/>
        <w:spacing w:before="100" w:beforeAutospacing="1" w:after="100" w:afterAutospacing="1"/>
        <w:rPr>
          <w:spacing w:val="2"/>
          <w:lang w:val="en-US" w:eastAsia="zh-CN"/>
        </w:rPr>
      </w:pPr>
      <w:r>
        <w:rPr>
          <w:spacing w:val="2"/>
          <w:lang w:val="en-US" w:eastAsia="zh-CN"/>
        </w:rPr>
        <w:t>The mechanism varies by architecture:</w:t>
      </w:r>
    </w:p>
    <w:tbl>
      <w:tblPr>
        <w:tblStyle w:val="45"/>
        <w:tblW w:w="0" w:type="auto"/>
        <w:tblInd w:w="0" w:type="dxa"/>
        <w:tblBorders>
          <w:top w:val="single" w:color="DDDDDD" w:sz="6" w:space="0"/>
          <w:left w:val="single" w:color="DDDDDD" w:sz="6" w:space="0"/>
          <w:bottom w:val="single" w:color="DDDDDD" w:sz="6" w:space="0"/>
          <w:right w:val="single" w:color="DDDDDD" w:sz="6" w:space="0"/>
          <w:insideH w:val="none" w:color="auto" w:sz="0" w:space="0"/>
          <w:insideV w:val="none" w:color="auto" w:sz="0" w:space="0"/>
        </w:tblBorders>
        <w:shd w:val="clear" w:color="auto" w:fill="F8F8F8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06"/>
        <w:gridCol w:w="8511"/>
      </w:tblGrid>
      <w:tr w14:paraId="2BBBFFBB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F8F8F8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E5E5E5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</w:tcPr>
          <w:p w14:paraId="4013C32A">
            <w:pPr>
              <w:spacing w:after="0"/>
              <w:jc w:val="center"/>
              <w:rPr>
                <w:b/>
                <w:bCs/>
                <w:color w:val="333333"/>
                <w:spacing w:val="2"/>
                <w:lang w:val="en-US" w:eastAsia="zh-CN"/>
              </w:rPr>
            </w:pPr>
            <w:r>
              <w:rPr>
                <w:b/>
                <w:bCs/>
                <w:color w:val="333333"/>
                <w:spacing w:val="2"/>
                <w:lang w:val="en-US" w:eastAsia="zh-CN"/>
              </w:rPr>
              <w:t>Architecture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E5E5E5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</w:tcPr>
          <w:p w14:paraId="5132FA5F">
            <w:pPr>
              <w:spacing w:after="0"/>
              <w:jc w:val="center"/>
              <w:rPr>
                <w:b/>
                <w:bCs/>
                <w:color w:val="333333"/>
                <w:spacing w:val="2"/>
                <w:lang w:val="en-US" w:eastAsia="zh-CN"/>
              </w:rPr>
            </w:pPr>
            <w:r>
              <w:rPr>
                <w:b/>
                <w:bCs/>
                <w:color w:val="333333"/>
                <w:spacing w:val="2"/>
                <w:lang w:val="en-US" w:eastAsia="zh-CN"/>
              </w:rPr>
              <w:t>gNB ID Acquisition</w:t>
            </w:r>
          </w:p>
        </w:tc>
      </w:tr>
      <w:tr w14:paraId="3D8ED49F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F8F8F8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</w:tcPr>
          <w:p w14:paraId="664E6E04">
            <w:pPr>
              <w:spacing w:after="0"/>
              <w:jc w:val="center"/>
              <w:rPr>
                <w:spacing w:val="2"/>
                <w:lang w:val="en-US" w:eastAsia="zh-CN"/>
              </w:rPr>
            </w:pPr>
            <w:r>
              <w:rPr>
                <w:b/>
                <w:bCs/>
                <w:spacing w:val="2"/>
                <w:lang w:val="en-US" w:eastAsia="zh-CN"/>
              </w:rPr>
              <w:t>Direct Path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8F8F8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</w:tcPr>
          <w:p w14:paraId="69DF7B6C">
            <w:pPr>
              <w:spacing w:after="0"/>
              <w:jc w:val="center"/>
              <w:rPr>
                <w:spacing w:val="2"/>
                <w:lang w:val="en-US" w:eastAsia="zh-CN"/>
              </w:rPr>
            </w:pPr>
            <w:r>
              <w:rPr>
                <w:rFonts w:hint="eastAsia"/>
                <w:spacing w:val="2"/>
                <w:lang w:val="en-US" w:eastAsia="zh-CN"/>
              </w:rPr>
              <w:t>AIOTF</w:t>
            </w:r>
            <w:r>
              <w:rPr>
                <w:spacing w:val="2"/>
                <w:lang w:val="en-US" w:eastAsia="zh-CN"/>
              </w:rPr>
              <w:t xml:space="preserve"> obtains gNB ID during NG setup.</w:t>
            </w:r>
          </w:p>
        </w:tc>
      </w:tr>
      <w:tr w14:paraId="0E02093B">
        <w:tblPrEx>
          <w:tblBorders>
            <w:top w:val="single" w:color="DDDDDD" w:sz="6" w:space="0"/>
            <w:left w:val="single" w:color="DDDDDD" w:sz="6" w:space="0"/>
            <w:bottom w:val="single" w:color="DDDDDD" w:sz="6" w:space="0"/>
            <w:right w:val="single" w:color="DDDDDD" w:sz="6" w:space="0"/>
            <w:insideH w:val="none" w:color="auto" w:sz="0" w:space="0"/>
            <w:insideV w:val="none" w:color="auto" w:sz="0" w:space="0"/>
          </w:tblBorders>
          <w:shd w:val="clear" w:color="auto" w:fill="F8F8F8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2F2F2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</w:tcPr>
          <w:p w14:paraId="2B7FB14D">
            <w:pPr>
              <w:spacing w:after="0"/>
              <w:jc w:val="center"/>
              <w:rPr>
                <w:spacing w:val="2"/>
                <w:lang w:val="en-US" w:eastAsia="zh-CN"/>
              </w:rPr>
            </w:pPr>
            <w:r>
              <w:rPr>
                <w:b/>
                <w:bCs/>
                <w:spacing w:val="2"/>
                <w:lang w:val="en-US" w:eastAsia="zh-CN"/>
              </w:rPr>
              <w:t>Indirect Path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2F2F2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</w:tcPr>
          <w:p w14:paraId="6A6F47C5">
            <w:pPr>
              <w:spacing w:after="0"/>
              <w:jc w:val="center"/>
              <w:rPr>
                <w:rFonts w:hint="default"/>
                <w:spacing w:val="2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pacing w:val="2"/>
                <w:lang w:bidi="ar-SA"/>
              </w:rPr>
              <w:t>AIOTF selects gNB via AMF/OAM, with implicit gNB awareness. The AMF is aware of which gNB is communicating with which AIOTF. The AMF may include the gNB ID in the AIoT-related messages exchanged between the AMF and AIOTF, and vice versa.</w:t>
            </w:r>
          </w:p>
        </w:tc>
      </w:tr>
    </w:tbl>
    <w:p w14:paraId="379E1AED">
      <w:pPr>
        <w:autoSpaceDN w:val="0"/>
        <w:rPr>
          <w:lang w:val="en-US" w:eastAsia="zh-CN"/>
        </w:rPr>
      </w:pPr>
      <w:r>
        <w:rPr>
          <w:rFonts w:hint="eastAsia"/>
          <w:lang w:val="en-US" w:eastAsia="zh-CN"/>
        </w:rPr>
        <w:t>For direct path, i</w:t>
      </w:r>
      <w:r>
        <w:rPr>
          <w:lang w:val="en-US" w:eastAsia="zh-CN"/>
        </w:rPr>
        <w:t>t seems that no additional information is required in subsequent communications, as the association is pre-established.</w:t>
      </w:r>
    </w:p>
    <w:p w14:paraId="09494511">
      <w:pPr>
        <w:autoSpaceDN w:val="0"/>
        <w:spacing w:after="180"/>
        <w:rPr>
          <w:rFonts w:hint="default" w:eastAsia="宋体" w:cs="Times New Roman"/>
          <w:lang w:val="en-US" w:eastAsia="zh-CN" w:bidi="ar-SA"/>
        </w:rPr>
      </w:pPr>
      <w:r>
        <w:rPr>
          <w:rFonts w:ascii="Times New Roman" w:hAnsi="Times New Roman" w:eastAsia="宋体" w:cs="Times New Roman"/>
          <w:lang w:bidi="ar-SA"/>
        </w:rPr>
        <w:t xml:space="preserve">For the indirect path, the AMF is aware of everything and will route and include necessary information, </w:t>
      </w:r>
      <w:r>
        <w:rPr>
          <w:rFonts w:hint="eastAsia" w:cs="Times New Roman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lang w:bidi="ar-SA"/>
        </w:rPr>
        <w:t>ven for routine AIoT operations, the AMF must perform routing and mapping</w:t>
      </w:r>
      <w:r>
        <w:rPr>
          <w:rFonts w:hint="eastAsia" w:cs="Times New Roman"/>
          <w:lang w:val="en-US" w:eastAsia="zh-CN" w:bidi="ar-SA"/>
        </w:rPr>
        <w:t xml:space="preserve">, </w:t>
      </w:r>
      <w:r>
        <w:rPr>
          <w:rFonts w:ascii="Times New Roman" w:hAnsi="Times New Roman" w:eastAsia="宋体" w:cs="Times New Roman"/>
          <w:lang w:bidi="ar-SA"/>
        </w:rPr>
        <w:t xml:space="preserve">but </w:t>
      </w:r>
      <w:r>
        <w:rPr>
          <w:rFonts w:hint="eastAsia" w:cs="Times New Roman"/>
          <w:lang w:val="en-US" w:eastAsia="zh-CN" w:bidi="ar-SA"/>
        </w:rPr>
        <w:t>it</w:t>
      </w:r>
      <w:r>
        <w:rPr>
          <w:rFonts w:hint="default" w:cs="Times New Roman"/>
          <w:lang w:val="en-US" w:eastAsia="zh-CN" w:bidi="ar-SA"/>
        </w:rPr>
        <w:t>’</w:t>
      </w:r>
      <w:r>
        <w:rPr>
          <w:rFonts w:hint="eastAsia" w:cs="Times New Roman"/>
          <w:lang w:val="en-US" w:eastAsia="zh-CN" w:bidi="ar-SA"/>
        </w:rPr>
        <w:t>s up to</w:t>
      </w:r>
      <w:r>
        <w:rPr>
          <w:rFonts w:ascii="Times New Roman" w:hAnsi="Times New Roman" w:eastAsia="宋体" w:cs="Times New Roman"/>
          <w:lang w:bidi="ar-SA"/>
        </w:rPr>
        <w:t xml:space="preserve"> SA2</w:t>
      </w:r>
      <w:r>
        <w:rPr>
          <w:rFonts w:hint="eastAsia" w:cs="Times New Roman"/>
          <w:lang w:val="en-US" w:eastAsia="zh-CN" w:bidi="ar-SA"/>
        </w:rPr>
        <w:t xml:space="preserve"> discussion.</w:t>
      </w:r>
    </w:p>
    <w:p w14:paraId="4E7CCA19">
      <w:pPr>
        <w:autoSpaceDN w:val="0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Observation </w:t>
      </w:r>
      <w:r>
        <w:rPr>
          <w:rFonts w:hint="eastAsia" w:eastAsia="等线"/>
          <w:b/>
          <w:bCs/>
          <w:lang w:val="en-US" w:eastAsia="zh-CN"/>
        </w:rPr>
        <w:t>1</w:t>
      </w:r>
      <w:r>
        <w:rPr>
          <w:rFonts w:eastAsia="等线"/>
          <w:b/>
          <w:bCs/>
          <w:lang w:val="en-US" w:eastAsia="zh-CN"/>
        </w:rPr>
        <w:t xml:space="preserve">, for both direct path or indirect path, explicit inclusion of gNB ID in operational messages (e.g., inventory reports) is redundant, as the </w:t>
      </w:r>
      <w:r>
        <w:rPr>
          <w:rFonts w:hint="eastAsia" w:eastAsia="等线"/>
          <w:b/>
          <w:bCs/>
          <w:lang w:val="en-US" w:eastAsia="zh-CN"/>
        </w:rPr>
        <w:t>AIOTF</w:t>
      </w:r>
      <w:r>
        <w:rPr>
          <w:rFonts w:eastAsia="等线"/>
          <w:b/>
          <w:bCs/>
          <w:lang w:val="en-US" w:eastAsia="zh-CN"/>
        </w:rPr>
        <w:t xml:space="preserve"> inherently identifies the gNB through prior procedures</w:t>
      </w:r>
      <w:r>
        <w:rPr>
          <w:rFonts w:hint="eastAsia" w:eastAsia="等线"/>
          <w:b/>
          <w:bCs/>
          <w:lang w:val="en-US" w:eastAsia="zh-CN"/>
        </w:rPr>
        <w:t xml:space="preserve"> or normal operation between AMF and AIoTF</w:t>
      </w:r>
      <w:r>
        <w:rPr>
          <w:rFonts w:eastAsia="等线"/>
          <w:b/>
          <w:bCs/>
          <w:lang w:val="en-US" w:eastAsia="zh-CN"/>
        </w:rPr>
        <w:t>.</w:t>
      </w:r>
    </w:p>
    <w:p w14:paraId="07D16E1E">
      <w:pPr>
        <w:autoSpaceDN w:val="0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</w:t>
      </w:r>
      <w:r>
        <w:rPr>
          <w:rFonts w:hint="eastAsia" w:eastAsia="等线"/>
          <w:b/>
          <w:bCs/>
          <w:lang w:val="en-US" w:eastAsia="zh-CN"/>
        </w:rPr>
        <w:t>1</w:t>
      </w:r>
      <w:r>
        <w:rPr>
          <w:rFonts w:eastAsia="等线"/>
          <w:b/>
          <w:bCs/>
          <w:lang w:val="en-US" w:eastAsia="zh-CN"/>
        </w:rPr>
        <w:t>, there’s no need to introduce explicit gNB ID in the inventory report.</w:t>
      </w:r>
    </w:p>
    <w:p w14:paraId="2EDE3FE3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AIOTF</w:t>
      </w:r>
      <w:r>
        <w:rPr>
          <w:b/>
          <w:bCs/>
          <w:u w:val="single"/>
          <w:lang w:val="en-US" w:eastAsia="zh-CN"/>
        </w:rPr>
        <w:t xml:space="preserve"> Knowledge of Reader Location</w:t>
      </w:r>
    </w:p>
    <w:p w14:paraId="7F783AA5">
      <w:pPr>
        <w:rPr>
          <w:lang w:val="en-US" w:eastAsia="zh-CN"/>
        </w:rPr>
      </w:pPr>
      <w:r>
        <w:rPr>
          <w:lang w:val="en-US" w:eastAsia="zh-CN"/>
        </w:rPr>
        <w:t xml:space="preserve">The reader location mapping can be realized in </w:t>
      </w:r>
      <w:r>
        <w:rPr>
          <w:rFonts w:hint="eastAsia"/>
          <w:lang w:val="en-US" w:eastAsia="zh-CN"/>
        </w:rPr>
        <w:t>AIOTF</w:t>
      </w:r>
      <w:r>
        <w:rPr>
          <w:lang w:val="en-US" w:eastAsia="zh-CN"/>
        </w:rPr>
        <w:t xml:space="preserve"> via:</w:t>
      </w:r>
    </w:p>
    <w:p w14:paraId="013B549D">
      <w:pPr>
        <w:rPr>
          <w:lang w:val="en-US" w:eastAsia="zh-CN"/>
        </w:rPr>
      </w:pPr>
      <w:r>
        <w:rPr>
          <w:lang w:val="en-US" w:eastAsia="zh-CN"/>
        </w:rPr>
        <w:t xml:space="preserve">- OAM pre-configuration </w:t>
      </w:r>
      <w:bookmarkStart w:id="1" w:name="_GoBack"/>
      <w:bookmarkEnd w:id="1"/>
    </w:p>
    <w:p w14:paraId="06176812">
      <w:pP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Reader information exchange procedures </w:t>
      </w:r>
    </w:p>
    <w:p w14:paraId="0802059B">
      <w:pPr>
        <w:rPr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782320</wp:posOffset>
                </wp:positionH>
                <wp:positionV relativeFrom="paragraph">
                  <wp:posOffset>2653030</wp:posOffset>
                </wp:positionV>
                <wp:extent cx="4318000" cy="635"/>
                <wp:effectExtent l="0" t="0" r="6350" b="825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62CE314">
                            <w:pPr>
                              <w:pStyle w:val="28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 device location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61.6pt;margin-top:208.9pt;height:0.05pt;width:340pt;mso-wrap-distance-bottom:0pt;mso-wrap-distance-top:0pt;z-index:251659264;mso-width-relative:page;mso-height-relative:page;" fillcolor="#FFFFFF" filled="t" stroked="f" coordsize="21600,21600" o:gfxdata="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PggrLLZAAAACwEAAA8AAAAAAAAAAQAgAAAAIgAAAGRycy9kb3ducmV2LnhtbFBLAQIUABQA&#10;AAAIAIdO4kDRmp/2KAIAAHEEAAAOAAAAAAAAAAEAIAAAACgBAABkcnMvZTJvRG9jLnhtbFBLBQYA&#10;AAAABgAGAFkBAADCBQAAAAA=&#10;">
                <v:fill on="t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 w14:paraId="762CE314">
                      <w:pPr>
                        <w:pStyle w:val="28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t>1</w:t>
                      </w:r>
                      <w:r>
                        <w:fldChar w:fldCharType="end"/>
                      </w:r>
                      <w:r>
                        <w:t xml:space="preserve"> device location information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pict>
          <v:shape id="_x0000_s1029" o:spid="_x0000_s1029" o:spt="75" type="#_x0000_t75" style="position:absolute;left:0pt;margin-left:78.6pt;margin-top:26.35pt;height:174.75pt;width:292.5pt;mso-wrap-distance-bottom:0pt;mso-wrap-distance-top:0pt;z-index:251660288;mso-width-relative:page;mso-height-relative:page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topAndBottom"/>
          </v:shape>
          <o:OLEObject Type="Embed" ProgID="Visio.Drawing.15" ShapeID="_x0000_s1029" DrawAspect="Content" ObjectID="_1468075725" r:id="rId5">
            <o:LockedField>false</o:LockedField>
          </o:OLEObject>
        </w:pict>
      </w:r>
      <w:r>
        <w:rPr>
          <w:lang w:val="en-US" w:eastAsia="zh-CN"/>
        </w:rPr>
        <w:t>The possible call flows can be as below:</w:t>
      </w:r>
    </w:p>
    <w:p w14:paraId="4FCE08CB">
      <w:pPr>
        <w:shd w:val="clear" w:color="auto" w:fill="FFFFFF"/>
        <w:spacing w:before="100" w:beforeAutospacing="1" w:after="100" w:afterAutospacing="1"/>
        <w:ind w:firstLine="408" w:firstLineChars="200"/>
        <w:rPr>
          <w:spacing w:val="2"/>
          <w:lang w:eastAsia="zh-CN"/>
        </w:rPr>
      </w:pPr>
      <w:r>
        <w:rPr>
          <w:spacing w:val="2"/>
          <w:lang w:eastAsia="zh-CN"/>
        </w:rPr>
        <w:t xml:space="preserve">1. </w:t>
      </w:r>
      <w:r>
        <w:rPr>
          <w:rFonts w:hint="eastAsia"/>
          <w:spacing w:val="2"/>
          <w:lang w:eastAsia="zh-CN"/>
        </w:rPr>
        <w:t>AIOTF</w:t>
      </w:r>
      <w:r>
        <w:rPr>
          <w:spacing w:val="2"/>
          <w:lang w:eastAsia="zh-CN"/>
        </w:rPr>
        <w:t xml:space="preserve"> obtains the reader information via reader information exchange</w:t>
      </w:r>
      <w:r>
        <w:rPr>
          <w:rFonts w:hint="eastAsia"/>
          <w:spacing w:val="2"/>
          <w:lang w:val="en-US" w:eastAsia="zh-CN"/>
        </w:rPr>
        <w:t xml:space="preserve"> or OAM</w:t>
      </w:r>
      <w:r>
        <w:rPr>
          <w:spacing w:val="2"/>
          <w:lang w:eastAsia="zh-CN"/>
        </w:rPr>
        <w:t>.</w:t>
      </w:r>
    </w:p>
    <w:p w14:paraId="0F5C158F">
      <w:pPr>
        <w:shd w:val="clear" w:color="auto" w:fill="FFFFFF"/>
        <w:spacing w:before="100" w:beforeAutospacing="1" w:after="100" w:afterAutospacing="1"/>
        <w:ind w:left="360"/>
        <w:rPr>
          <w:spacing w:val="2"/>
          <w:lang w:val="en-US" w:eastAsia="zh-CN"/>
        </w:rPr>
      </w:pPr>
      <w:r>
        <w:rPr>
          <w:spacing w:val="2"/>
          <w:lang w:val="en-US" w:eastAsia="zh-CN"/>
        </w:rPr>
        <w:t xml:space="preserve">2-4. </w:t>
      </w:r>
      <w:r>
        <w:rPr>
          <w:rFonts w:hint="eastAsia"/>
          <w:spacing w:val="2"/>
          <w:lang w:val="en-US" w:eastAsia="zh-CN"/>
        </w:rPr>
        <w:t>AIOTF</w:t>
      </w:r>
      <w:r>
        <w:rPr>
          <w:spacing w:val="2"/>
          <w:lang w:val="en-US" w:eastAsia="zh-CN"/>
        </w:rPr>
        <w:t xml:space="preserve"> selects a TRP (reader) for AIoT operations.</w:t>
      </w:r>
    </w:p>
    <w:p w14:paraId="5AB3C618">
      <w:pPr>
        <w:shd w:val="clear" w:color="auto" w:fill="FFFFFF"/>
        <w:spacing w:before="100" w:beforeAutospacing="1" w:after="100" w:afterAutospacing="1"/>
        <w:ind w:left="76" w:firstLine="284"/>
        <w:rPr>
          <w:spacing w:val="2"/>
          <w:lang w:eastAsia="zh-CN"/>
        </w:rPr>
      </w:pPr>
      <w:r>
        <w:rPr>
          <w:spacing w:val="2"/>
          <w:lang w:eastAsia="zh-CN"/>
        </w:rPr>
        <w:t xml:space="preserve">5. </w:t>
      </w:r>
      <w:r>
        <w:rPr>
          <w:rFonts w:hint="eastAsia"/>
          <w:spacing w:val="2"/>
          <w:lang w:val="en-US" w:eastAsia="zh-CN"/>
        </w:rPr>
        <w:t xml:space="preserve">Reader </w:t>
      </w:r>
      <w:r>
        <w:rPr>
          <w:spacing w:val="2"/>
          <w:lang w:eastAsia="zh-CN"/>
        </w:rPr>
        <w:t>ID is included in AIoT response/report messages (e.g., inventory reports).</w:t>
      </w:r>
    </w:p>
    <w:p w14:paraId="3DC37AEF">
      <w:pPr>
        <w:shd w:val="clear" w:color="auto" w:fill="FFFFFF"/>
        <w:spacing w:before="100" w:beforeAutospacing="1" w:after="100" w:afterAutospacing="1"/>
        <w:ind w:left="76" w:firstLine="284"/>
        <w:rPr>
          <w:spacing w:val="2"/>
          <w:lang w:val="en-US" w:eastAsia="zh-CN"/>
        </w:rPr>
      </w:pPr>
      <w:r>
        <w:rPr>
          <w:spacing w:val="2"/>
          <w:lang w:val="en-US" w:eastAsia="zh-CN"/>
        </w:rPr>
        <w:t xml:space="preserve">6. </w:t>
      </w:r>
      <w:r>
        <w:rPr>
          <w:rFonts w:hint="eastAsia"/>
          <w:spacing w:val="2"/>
          <w:lang w:val="en-US" w:eastAsia="zh-CN"/>
        </w:rPr>
        <w:t>AIOTF</w:t>
      </w:r>
      <w:r>
        <w:rPr>
          <w:spacing w:val="2"/>
          <w:lang w:val="en-US" w:eastAsia="zh-CN"/>
        </w:rPr>
        <w:t xml:space="preserve"> maps </w:t>
      </w:r>
      <w:r>
        <w:rPr>
          <w:rFonts w:hint="eastAsia"/>
          <w:spacing w:val="2"/>
          <w:lang w:val="en-US" w:eastAsia="zh-CN"/>
        </w:rPr>
        <w:t>Reader</w:t>
      </w:r>
      <w:r>
        <w:rPr>
          <w:spacing w:val="2"/>
          <w:lang w:val="en-US" w:eastAsia="zh-CN"/>
        </w:rPr>
        <w:t>ID to pre-acquired location data.</w:t>
      </w:r>
    </w:p>
    <w:p w14:paraId="5F64F086">
      <w:pPr>
        <w:rPr>
          <w:lang w:val="en-US" w:eastAsia="zh-CN"/>
        </w:rPr>
      </w:pPr>
    </w:p>
    <w:p w14:paraId="363A6DF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, RAN3 agree to include </w:t>
      </w:r>
      <w:r>
        <w:rPr>
          <w:rFonts w:hint="eastAsia"/>
          <w:b/>
          <w:bCs/>
          <w:lang w:val="en-US" w:eastAsia="zh-CN"/>
        </w:rPr>
        <w:t xml:space="preserve">Reader </w:t>
      </w:r>
      <w:r>
        <w:rPr>
          <w:b/>
          <w:bCs/>
          <w:lang w:val="en-US" w:eastAsia="zh-CN"/>
        </w:rPr>
        <w:t>ID in the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inventory report message. </w:t>
      </w:r>
    </w:p>
    <w:p w14:paraId="6FEE433B">
      <w:pPr>
        <w:pStyle w:val="2"/>
      </w:pPr>
      <w:r>
        <w:t>3</w:t>
      </w:r>
      <w:r>
        <w:tab/>
      </w:r>
      <w:r>
        <w:t>Conclusion</w:t>
      </w:r>
    </w:p>
    <w:p w14:paraId="60B2731F">
      <w:pPr>
        <w:rPr>
          <w:lang w:eastAsia="zh-CN"/>
        </w:rPr>
      </w:pPr>
      <w:r>
        <w:rPr>
          <w:lang w:eastAsia="zh-CN"/>
        </w:rPr>
        <w:t>Based on the above discussion, we have the following observations and proposals.</w:t>
      </w:r>
    </w:p>
    <w:p w14:paraId="28848575">
      <w:pPr>
        <w:autoSpaceDN w:val="0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Observation </w:t>
      </w:r>
      <w:r>
        <w:rPr>
          <w:rFonts w:hint="eastAsia" w:eastAsia="等线"/>
          <w:b/>
          <w:bCs/>
          <w:lang w:val="en-US" w:eastAsia="zh-CN"/>
        </w:rPr>
        <w:t>1</w:t>
      </w:r>
      <w:r>
        <w:rPr>
          <w:rFonts w:eastAsia="等线"/>
          <w:b/>
          <w:bCs/>
          <w:lang w:val="en-US" w:eastAsia="zh-CN"/>
        </w:rPr>
        <w:t xml:space="preserve">, for both direct path or indirect path, explicit inclusion of gNB ID in operational messages (e.g., inventory reports) is redundant, as the </w:t>
      </w:r>
      <w:r>
        <w:rPr>
          <w:rFonts w:hint="eastAsia" w:eastAsia="等线"/>
          <w:b/>
          <w:bCs/>
          <w:lang w:val="en-US" w:eastAsia="zh-CN"/>
        </w:rPr>
        <w:t>AIOTF</w:t>
      </w:r>
      <w:r>
        <w:rPr>
          <w:rFonts w:eastAsia="等线"/>
          <w:b/>
          <w:bCs/>
          <w:lang w:val="en-US" w:eastAsia="zh-CN"/>
        </w:rPr>
        <w:t xml:space="preserve"> inherently identifies the gNB through prior procedures</w:t>
      </w:r>
      <w:r>
        <w:rPr>
          <w:rFonts w:hint="eastAsia" w:eastAsia="等线"/>
          <w:b/>
          <w:bCs/>
          <w:lang w:val="en-US" w:eastAsia="zh-CN"/>
        </w:rPr>
        <w:t xml:space="preserve"> or normal operation between AMF and AIoTF</w:t>
      </w:r>
      <w:r>
        <w:rPr>
          <w:rFonts w:eastAsia="等线"/>
          <w:b/>
          <w:bCs/>
          <w:lang w:val="en-US" w:eastAsia="zh-CN"/>
        </w:rPr>
        <w:t>.</w:t>
      </w:r>
    </w:p>
    <w:p w14:paraId="48666987">
      <w:pPr>
        <w:autoSpaceDN w:val="0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</w:t>
      </w:r>
      <w:r>
        <w:rPr>
          <w:rFonts w:hint="eastAsia" w:eastAsia="等线"/>
          <w:b/>
          <w:bCs/>
          <w:lang w:val="en-US" w:eastAsia="zh-CN"/>
        </w:rPr>
        <w:t>1</w:t>
      </w:r>
      <w:r>
        <w:rPr>
          <w:rFonts w:eastAsia="等线"/>
          <w:b/>
          <w:bCs/>
          <w:lang w:val="en-US" w:eastAsia="zh-CN"/>
        </w:rPr>
        <w:t>, there’s no need to introduce explicit gNB ID in the inventory report.</w:t>
      </w:r>
    </w:p>
    <w:p w14:paraId="18BA05D7">
      <w:pPr>
        <w:rPr>
          <w:rFonts w:eastAsia="等线"/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, RAN3 agree to include </w:t>
      </w:r>
      <w:r>
        <w:rPr>
          <w:rFonts w:hint="eastAsia"/>
          <w:b/>
          <w:bCs/>
          <w:lang w:val="en-US" w:eastAsia="zh-CN"/>
        </w:rPr>
        <w:t xml:space="preserve">Reader </w:t>
      </w:r>
      <w:r>
        <w:rPr>
          <w:b/>
          <w:bCs/>
          <w:lang w:val="en-US" w:eastAsia="zh-CN"/>
        </w:rPr>
        <w:t>ID in the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inventory report message. </w:t>
      </w:r>
    </w:p>
    <w:p w14:paraId="3EB78345">
      <w:pPr>
        <w:pStyle w:val="2"/>
      </w:pPr>
      <w:r>
        <w:t>4</w:t>
      </w:r>
      <w:r>
        <w:tab/>
      </w:r>
      <w:r>
        <w:t>Reference</w:t>
      </w:r>
    </w:p>
    <w:p w14:paraId="5A860115">
      <w:r>
        <w:t>[1] TR 38.769: Study on Ambient IoT Solutions.</w:t>
      </w:r>
    </w:p>
    <w:p w14:paraId="6F5DA6BB"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62DFE"/>
    <w:rsid w:val="0007020B"/>
    <w:rsid w:val="0007185C"/>
    <w:rsid w:val="00072BC4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5D5A"/>
    <w:rsid w:val="000B7BCF"/>
    <w:rsid w:val="000C1506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3262A"/>
    <w:rsid w:val="001345FB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3688B"/>
    <w:rsid w:val="0024281D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34F5B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5754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4CA5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736DA"/>
    <w:rsid w:val="00475B3F"/>
    <w:rsid w:val="0048072A"/>
    <w:rsid w:val="00483A73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30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05367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0C5"/>
    <w:rsid w:val="005A2CFE"/>
    <w:rsid w:val="005A2F33"/>
    <w:rsid w:val="005A4971"/>
    <w:rsid w:val="005B082F"/>
    <w:rsid w:val="005B1232"/>
    <w:rsid w:val="005B2EEF"/>
    <w:rsid w:val="005C19CB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2335"/>
    <w:rsid w:val="007329D2"/>
    <w:rsid w:val="00734A5B"/>
    <w:rsid w:val="0073501D"/>
    <w:rsid w:val="00737DBB"/>
    <w:rsid w:val="00737EE3"/>
    <w:rsid w:val="00741EC5"/>
    <w:rsid w:val="00743525"/>
    <w:rsid w:val="00744C7C"/>
    <w:rsid w:val="00744E76"/>
    <w:rsid w:val="0074724B"/>
    <w:rsid w:val="007476DB"/>
    <w:rsid w:val="007528F5"/>
    <w:rsid w:val="00755770"/>
    <w:rsid w:val="0075648E"/>
    <w:rsid w:val="00756B13"/>
    <w:rsid w:val="007574C2"/>
    <w:rsid w:val="00757D40"/>
    <w:rsid w:val="00761841"/>
    <w:rsid w:val="00763232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47671"/>
    <w:rsid w:val="00853EDD"/>
    <w:rsid w:val="00855058"/>
    <w:rsid w:val="00856D09"/>
    <w:rsid w:val="008604EE"/>
    <w:rsid w:val="00860C30"/>
    <w:rsid w:val="0086349C"/>
    <w:rsid w:val="00865B05"/>
    <w:rsid w:val="00865CE0"/>
    <w:rsid w:val="00867112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218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D7D75"/>
    <w:rsid w:val="009E0069"/>
    <w:rsid w:val="009E0B2E"/>
    <w:rsid w:val="009E17E2"/>
    <w:rsid w:val="009E5B97"/>
    <w:rsid w:val="009F0198"/>
    <w:rsid w:val="009F3B54"/>
    <w:rsid w:val="009F5E33"/>
    <w:rsid w:val="009F75AB"/>
    <w:rsid w:val="009F7E6E"/>
    <w:rsid w:val="00A10F02"/>
    <w:rsid w:val="00A12228"/>
    <w:rsid w:val="00A158B4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51490"/>
    <w:rsid w:val="00A51948"/>
    <w:rsid w:val="00A53724"/>
    <w:rsid w:val="00A55D93"/>
    <w:rsid w:val="00A56A94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29C1"/>
    <w:rsid w:val="00A8330E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45A"/>
    <w:rsid w:val="00AE39C8"/>
    <w:rsid w:val="00AE725C"/>
    <w:rsid w:val="00AE7B11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2816"/>
    <w:rsid w:val="00B73C17"/>
    <w:rsid w:val="00B7625F"/>
    <w:rsid w:val="00B774AE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85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7243"/>
    <w:rsid w:val="00C156AF"/>
    <w:rsid w:val="00C2540D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08BC"/>
    <w:rsid w:val="00C93190"/>
    <w:rsid w:val="00C979A9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58B6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3AC8"/>
    <w:rsid w:val="00D16505"/>
    <w:rsid w:val="00D22038"/>
    <w:rsid w:val="00D23014"/>
    <w:rsid w:val="00D27D05"/>
    <w:rsid w:val="00D31E29"/>
    <w:rsid w:val="00D34A99"/>
    <w:rsid w:val="00D34F04"/>
    <w:rsid w:val="00D37B14"/>
    <w:rsid w:val="00D42780"/>
    <w:rsid w:val="00D435B1"/>
    <w:rsid w:val="00D43697"/>
    <w:rsid w:val="00D45717"/>
    <w:rsid w:val="00D45D1F"/>
    <w:rsid w:val="00D470EA"/>
    <w:rsid w:val="00D51187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3EF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594A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5AA2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E2BEB"/>
    <w:rsid w:val="00FF0023"/>
    <w:rsid w:val="00FF0D57"/>
    <w:rsid w:val="00FF1248"/>
    <w:rsid w:val="00FF4BAA"/>
    <w:rsid w:val="00FF75A6"/>
    <w:rsid w:val="00FF7BCD"/>
    <w:rsid w:val="130850FC"/>
    <w:rsid w:val="215F0650"/>
    <w:rsid w:val="28DC7F0B"/>
    <w:rsid w:val="30803872"/>
    <w:rsid w:val="413A2D86"/>
    <w:rsid w:val="5A311FE9"/>
    <w:rsid w:val="70A47CAC"/>
    <w:rsid w:val="7A9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table" w:customStyle="1" w:styleId="163">
    <w:name w:val="Table Normal"/>
    <w:basedOn w:val="45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460</Words>
  <Characters>2417</Characters>
  <Lines>32</Lines>
  <Paragraphs>9</Paragraphs>
  <TotalTime>7</TotalTime>
  <ScaleCrop>false</ScaleCrop>
  <LinksUpToDate>false</LinksUpToDate>
  <CharactersWithSpaces>2841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2025-02-06T10:27:00Z</dcterms:created>
  <dc:creator>Xiaomi-Lisi</dc:creator>
  <cp:lastModifiedBy>Lisa</cp:lastModifiedBy>
  <dcterms:modified xsi:type="dcterms:W3CDTF">2025-03-28T05:42:28Z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2052-12.1.0.19770</vt:lpwstr>
  </property>
  <property fmtid="{D5CDD505-2E9C-101B-9397-08002B2CF9AE}" pid="6" name="ICV">
    <vt:lpwstr>639E8BD8AB2344EE8EF06046AFF0729C_13</vt:lpwstr>
  </property>
</Properties>
</file>